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0215" cy="6026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75AF7" w:rsidRDefault="00AE5E45" w:rsidP="00AE5E45">
      <w:pPr>
        <w:widowControl w:val="0"/>
        <w:autoSpaceDE w:val="0"/>
        <w:autoSpaceDN w:val="0"/>
        <w:adjustRightInd w:val="0"/>
        <w:spacing w:after="0" w:line="30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5AF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E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5AF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                                                        № </w:t>
      </w:r>
      <w:r w:rsidR="00175AF7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AE5E45" w:rsidRPr="00AE5E45" w:rsidRDefault="00AE5E45" w:rsidP="00AE5E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 Сосновка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175AF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ТАКЖЕ ПРОВЕДЕНИЯ ИХ КОНКУРСНОГО ОТБОРА</w:t>
      </w:r>
      <w:r w:rsidR="00175AF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AE5E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МУНИЦИПАЛЬНОМ ОБРАЗОВАНИ СЕЛЬСКОГО ПОСЕЛЕНИЯ СОСНОВСКОГО МУНИЦИПАЛЬНОГО ОБРАЗОВАНИЯ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="00FD5F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56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FD5F0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 xml:space="preserve"> 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 w:rsid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31,46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</w:t>
      </w:r>
      <w:r w:rsid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Сосновского муниципального образования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Дума сельского поселения Сосновского муниципального образования</w:t>
      </w:r>
    </w:p>
    <w:p w:rsidR="00AE5E45" w:rsidRPr="00AE5E45" w:rsidRDefault="00AE5E45" w:rsidP="00AE5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РЕШИЛА:</w:t>
      </w:r>
    </w:p>
    <w:p w:rsidR="00177C92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EE2D73">
        <w:rPr>
          <w:rFonts w:ascii="Times New Roman" w:hAnsi="Times New Roman" w:cs="Times New Roman"/>
          <w:kern w:val="2"/>
          <w:sz w:val="28"/>
          <w:szCs w:val="28"/>
        </w:rPr>
        <w:t>ый порядок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E5E4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Сосновского муниципального образования</w:t>
      </w:r>
      <w:r w:rsidRPr="00EE2D7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5E45" w:rsidRPr="00AE5E45" w:rsidRDefault="00175AF7" w:rsidP="00AE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AE5E45" w:rsidRP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 в средствах массовой информации.</w:t>
      </w:r>
    </w:p>
    <w:p w:rsidR="00926A06" w:rsidRDefault="00175AF7" w:rsidP="00AE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AE5E45" w:rsidRP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AE5E45" w:rsidRP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Ведущему специалисту по организационной работе (Братчиковой К.А.) опубликовать настоящее решение в средствах массовой информации, в издательстве «Сосновский вестник» и разместить на официальном сайте администрации Сосновского муниципального образования в информационно телекоммуникационной сети «Интернет», по адресу: https://www.sosnovka-adm@mail.ru /.</w:t>
      </w:r>
    </w:p>
    <w:p w:rsidR="00AE5E45" w:rsidRDefault="00AE5E45" w:rsidP="00AE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5E45" w:rsidRPr="00AE5E45" w:rsidRDefault="00AE5E45" w:rsidP="00AE5E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сельского поселения</w:t>
      </w:r>
    </w:p>
    <w:p w:rsidR="00AE5E45" w:rsidRPr="00AE5E45" w:rsidRDefault="00AE5E45" w:rsidP="00AE5E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Сосновского муниципального образования,</w:t>
      </w:r>
    </w:p>
    <w:p w:rsidR="00AE5E45" w:rsidRPr="00AE5E45" w:rsidRDefault="00AE5E45" w:rsidP="00AE5E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 Думы сельского поселения</w:t>
      </w:r>
    </w:p>
    <w:p w:rsidR="00AE5E45" w:rsidRDefault="00AE5E45" w:rsidP="00AE5E4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Сосновского муниципального образования                                 В. С. Мелентьев</w:t>
      </w:r>
    </w:p>
    <w:p w:rsidR="00AE5E45" w:rsidRPr="00EE2D73" w:rsidRDefault="00AE5E45" w:rsidP="00AE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240" w:lineRule="auto"/>
        <w:ind w:left="4820" w:right="-23" w:firstLine="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240" w:lineRule="auto"/>
        <w:ind w:left="4820" w:right="-23" w:firstLine="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сельского поселения Сосновского муниципального образования </w:t>
      </w:r>
    </w:p>
    <w:p w:rsidR="00AE5E45" w:rsidRPr="00AE5E45" w:rsidRDefault="00AE5E45" w:rsidP="00AE5E45">
      <w:pPr>
        <w:widowControl w:val="0"/>
        <w:autoSpaceDE w:val="0"/>
        <w:autoSpaceDN w:val="0"/>
        <w:adjustRightInd w:val="0"/>
        <w:spacing w:after="0" w:line="240" w:lineRule="auto"/>
        <w:ind w:left="4820" w:right="-23" w:firstLine="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5AF7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A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5AF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E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AF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E5E4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AE5E45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  <w:r w:rsidR="00AE5E45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 СОСНОВСКОГО МУНИЦИПАЛЬНОГО ОБРАЗОВАНИЯ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B03F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инициативных проектов по реализации мероприятий, имеющих приоритетное значение для жителей муниципального образования</w:t>
      </w:r>
      <w:r w:rsidR="00AE5E4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Сосновского муниципального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местную администрацию </w:t>
      </w:r>
      <w:r w:rsidR="00AE5E45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AE5E4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Сосновского муниципального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07353B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</w:t>
      </w:r>
      <w:r w:rsidR="00767E6A"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>
        <w:rPr>
          <w:rFonts w:ascii="Times New Roman" w:hAnsi="Times New Roman" w:cs="Times New Roman"/>
          <w:kern w:val="2"/>
          <w:sz w:val="28"/>
          <w:szCs w:val="28"/>
        </w:rPr>
        <w:t>ется нормативным правовым актом Думы</w:t>
      </w:r>
      <w:r w:rsidR="00AE5E4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Сосновского муниципального образования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</w:t>
      </w:r>
      <w:bookmarkStart w:id="0" w:name="_GoBack"/>
      <w:bookmarkEnd w:id="0"/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18,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AE5E45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1A379B" w:rsidRPr="00FD5F03" w:rsidRDefault="003858DF" w:rsidP="00FD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та сельского </w:t>
      </w:r>
      <w:r w:rsidR="0033712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="00021E2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FD5F0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FA3EBF" w:rsidRPr="00FD5F03" w:rsidRDefault="00622BC4" w:rsidP="00FD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</w:t>
      </w:r>
      <w:r w:rsidR="00021E20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p w:rsidR="00484840" w:rsidRPr="00BC4F05" w:rsidRDefault="00FD5F03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:rsidR="0007353B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FD5F03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175AF7" w:rsidRPr="00626F09" w:rsidRDefault="00175AF7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FD5F03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F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11</w:t>
      </w:r>
      <w:r w:rsidR="00FD5CB9" w:rsidRPr="001B5C52">
        <w:rPr>
          <w:rFonts w:ascii="Times New Roman" w:hAnsi="Times New Roman" w:cs="Times New Roman"/>
          <w:bCs/>
          <w:kern w:val="2"/>
          <w:sz w:val="28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="00FD5CB9"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="00FD5CB9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>предус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мотренное подпунктом 2 пункта 10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</w:t>
      </w:r>
      <w:r w:rsidR="00FD5CB9"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)на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право на решение вопросов, не отнесенного к вопросам местного значения муниципального образования, в соответствии </w:t>
      </w:r>
      <w:r w:rsidRPr="00503C68">
        <w:rPr>
          <w:rFonts w:ascii="Times New Roman" w:hAnsi="Times New Roman" w:cs="Times New Roman"/>
          <w:bCs/>
          <w:kern w:val="2"/>
          <w:sz w:val="28"/>
          <w:szCs w:val="28"/>
        </w:rPr>
        <w:t>Федерального</w:t>
      </w:r>
      <w:r w:rsidRPr="00021E20"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FE2A5A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="00121D22" w:rsidRPr="000104DC">
        <w:rPr>
          <w:rFonts w:ascii="Times New Roman" w:hAnsi="Times New Roman" w:cs="Times New Roman"/>
          <w:kern w:val="2"/>
          <w:sz w:val="28"/>
          <w:szCs w:val="28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</w:t>
      </w:r>
      <w:r>
        <w:rPr>
          <w:rFonts w:ascii="Times New Roman" w:hAnsi="Times New Roman" w:cs="Times New Roman"/>
          <w:kern w:val="2"/>
          <w:sz w:val="28"/>
          <w:szCs w:val="28"/>
        </w:rPr>
        <w:t>енная подпунктами 4, 7 пункта 10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FE2A5A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B7347"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="00EB7347"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FE2A5A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>может содержать помимо свед</w:t>
      </w:r>
      <w:r>
        <w:rPr>
          <w:rFonts w:ascii="Times New Roman" w:hAnsi="Times New Roman" w:cs="Times New Roman"/>
          <w:kern w:val="2"/>
          <w:sz w:val="28"/>
          <w:szCs w:val="28"/>
        </w:rPr>
        <w:t>ений, предусмотренных пунктом 10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инициативного проекта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FE2A5A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15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0FC4"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AE2D8C" w:rsidRDefault="00FE2A5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16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E2D8C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>бор подписей граждан.</w:t>
      </w:r>
    </w:p>
    <w:p w:rsidR="00EE2D73" w:rsidRPr="003A4790" w:rsidRDefault="00FE2A5A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в фо</w:t>
      </w:r>
      <w:r>
        <w:rPr>
          <w:rFonts w:ascii="Times New Roman" w:hAnsi="Times New Roman" w:cs="Times New Roman"/>
          <w:kern w:val="2"/>
          <w:sz w:val="28"/>
          <w:szCs w:val="28"/>
        </w:rPr>
        <w:t>рмах, предусмотренных пунктом 16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FE2A5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18</w:t>
      </w:r>
      <w:r w:rsidR="003A4790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="003A4790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="003A4790"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="003A4790"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числа предусмотренных пунктом 16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3A4790"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FE2A5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17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сходе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E2A5A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FE2A5A">
        <w:rPr>
          <w:rFonts w:ascii="Times New Roman" w:hAnsi="Times New Roman" w:cs="Times New Roman"/>
          <w:kern w:val="2"/>
          <w:sz w:val="28"/>
          <w:szCs w:val="28"/>
        </w:rPr>
        <w:t xml:space="preserve"> 17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FE2A5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FE2A5A">
        <w:rPr>
          <w:rFonts w:ascii="Times New Roman" w:hAnsi="Times New Roman" w:cs="Times New Roman"/>
          <w:kern w:val="2"/>
          <w:sz w:val="28"/>
          <w:szCs w:val="28"/>
        </w:rPr>
        <w:t xml:space="preserve"> 17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lastRenderedPageBreak/>
        <w:t>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B7520" w:rsidRPr="00FE2A5A" w:rsidRDefault="007A2A0C" w:rsidP="00FE2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1D1BE3" w:rsidRDefault="00FE2A5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 xml:space="preserve">. Граждане </w:t>
      </w:r>
      <w:r w:rsidR="001D1BE3"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="001D1BE3"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FE2A5A"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16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FE2A5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23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2D01BC" w:rsidRPr="00BF7BF5" w:rsidRDefault="001D3740" w:rsidP="00FE2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3D0C6B" w:rsidRPr="00BF7BF5" w:rsidRDefault="00FE2A5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9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:rsidR="001D3740" w:rsidRPr="00FE2A5A" w:rsidRDefault="00FE2A5A" w:rsidP="00FE2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Default="00FE2A5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7A27D0">
        <w:rPr>
          <w:rFonts w:ascii="Times New Roman" w:hAnsi="Times New Roman" w:cs="Times New Roman"/>
          <w:kern w:val="2"/>
          <w:sz w:val="28"/>
          <w:szCs w:val="28"/>
        </w:rPr>
        <w:t>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FE2A5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</w:t>
      </w:r>
      <w:r w:rsidR="00FE2A5A">
        <w:rPr>
          <w:rFonts w:ascii="Times New Roman" w:hAnsi="Times New Roman" w:cs="Times New Roman"/>
          <w:kern w:val="2"/>
          <w:sz w:val="28"/>
          <w:szCs w:val="28"/>
        </w:rPr>
        <w:t>ядке, предусмотренным пунктом 9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FE2A5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25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FE2A5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FE2A5A">
        <w:rPr>
          <w:rFonts w:ascii="Times New Roman" w:hAnsi="Times New Roman" w:cs="Times New Roman"/>
          <w:bCs/>
          <w:kern w:val="2"/>
          <w:sz w:val="28"/>
          <w:szCs w:val="28"/>
        </w:rPr>
        <w:t xml:space="preserve">–13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FE2A5A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26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FE2A5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085E2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85E2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27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25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Default="00085E2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AE2D8C" w:rsidRDefault="00085E2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EE5180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по адресу 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сосновка-адм.рф 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</w:p>
    <w:p w:rsidR="00CC39A5" w:rsidRPr="00AE2D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AE2D8C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0665D1" w:rsidRDefault="00085E2A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30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</w:t>
      </w:r>
      <w:r w:rsidR="00085E2A">
        <w:rPr>
          <w:rFonts w:ascii="Times New Roman" w:hAnsi="Times New Roman" w:cs="Times New Roman"/>
          <w:kern w:val="2"/>
          <w:sz w:val="28"/>
          <w:szCs w:val="28"/>
        </w:rPr>
        <w:t>м проекте, указанные в пункте 10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085E2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085E2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32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предусмотренных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:rsidR="001C1F7F" w:rsidRPr="00085E2A" w:rsidRDefault="000C6A41" w:rsidP="000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</w:t>
      </w:r>
      <w:r w:rsidR="00A85EFE" w:rsidRPr="00AE2D8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схода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085E2A">
        <w:rPr>
          <w:rFonts w:ascii="Times New Roman" w:hAnsi="Times New Roman" w:cs="Times New Roman"/>
          <w:kern w:val="2"/>
          <w:sz w:val="28"/>
          <w:szCs w:val="28"/>
        </w:rPr>
        <w:t>елях, предусмотренных пунктом 17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Федерации, законов и иных нормативных правовых актов Иркутской области, Уставу муниципального образования 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>Сосновкого сельского поселения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085E2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085E2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33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175AF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их инициативных проектов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085E2A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34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175A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085E2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35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201E48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Сосновского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Default="00085E2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36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35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085E2A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37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</w:t>
      </w:r>
      <w:r>
        <w:rPr>
          <w:rFonts w:ascii="Times New Roman" w:hAnsi="Times New Roman" w:cs="Times New Roman"/>
          <w:kern w:val="2"/>
          <w:sz w:val="28"/>
          <w:szCs w:val="28"/>
        </w:rPr>
        <w:t>рация в соответствии с пунктом 36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085E2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085E2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38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307D39" w:rsidRDefault="00085E2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90594" w:rsidRPr="00307D39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307D39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085E2A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085E2A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>, а также о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085E2A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085E2A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43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085E2A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44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085E2A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45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085E2A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085E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</w:p>
    <w:p w:rsidR="006D38C5" w:rsidRPr="00307D39" w:rsidRDefault="00085E2A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 xml:space="preserve">старостой сельского </w:t>
      </w:r>
      <w:r w:rsidR="00201E48">
        <w:rPr>
          <w:rFonts w:ascii="Times New Roman" w:hAnsi="Times New Roman" w:cs="Times New Roman"/>
          <w:kern w:val="2"/>
          <w:sz w:val="28"/>
          <w:szCs w:val="28"/>
        </w:rPr>
        <w:t>поселения.</w:t>
      </w:r>
    </w:p>
    <w:sectPr w:rsidR="006D38C5" w:rsidRPr="00307D39" w:rsidSect="00AE5E45">
      <w:headerReference w:type="default" r:id="rId8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2B" w:rsidRDefault="00CC662B" w:rsidP="00926A06">
      <w:pPr>
        <w:spacing w:after="0" w:line="240" w:lineRule="auto"/>
      </w:pPr>
      <w:r>
        <w:separator/>
      </w:r>
    </w:p>
  </w:endnote>
  <w:endnote w:type="continuationSeparator" w:id="0">
    <w:p w:rsidR="00CC662B" w:rsidRDefault="00CC662B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2B" w:rsidRDefault="00CC662B" w:rsidP="00926A06">
      <w:pPr>
        <w:spacing w:after="0" w:line="240" w:lineRule="auto"/>
      </w:pPr>
      <w:r>
        <w:separator/>
      </w:r>
    </w:p>
  </w:footnote>
  <w:footnote w:type="continuationSeparator" w:id="0">
    <w:p w:rsidR="00CC662B" w:rsidRDefault="00CC662B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0055048"/>
      <w:docPartObj>
        <w:docPartGallery w:val="Page Numbers (Top of Page)"/>
        <w:docPartUnique/>
      </w:docPartObj>
    </w:sdtPr>
    <w:sdtEndPr/>
    <w:sdtContent>
      <w:p w:rsidR="0007353B" w:rsidRPr="008604FB" w:rsidRDefault="00B162D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75AF7">
          <w:rPr>
            <w:rFonts w:ascii="Times New Roman" w:hAnsi="Times New Roman" w:cs="Times New Roman"/>
            <w:noProof/>
          </w:rPr>
          <w:t>12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104DC"/>
    <w:rsid w:val="00011DBE"/>
    <w:rsid w:val="00015B35"/>
    <w:rsid w:val="000172C1"/>
    <w:rsid w:val="00021E20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85E2A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5AF7"/>
    <w:rsid w:val="001773E2"/>
    <w:rsid w:val="00177C92"/>
    <w:rsid w:val="00185CA8"/>
    <w:rsid w:val="0019019F"/>
    <w:rsid w:val="001A379B"/>
    <w:rsid w:val="001B5C52"/>
    <w:rsid w:val="001B6DC1"/>
    <w:rsid w:val="001C1F7F"/>
    <w:rsid w:val="001C43C7"/>
    <w:rsid w:val="001D1B5C"/>
    <w:rsid w:val="001D1BE3"/>
    <w:rsid w:val="001D277E"/>
    <w:rsid w:val="001D3740"/>
    <w:rsid w:val="001D3E53"/>
    <w:rsid w:val="001E2B2E"/>
    <w:rsid w:val="001E4F11"/>
    <w:rsid w:val="001F2D30"/>
    <w:rsid w:val="00201E48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37123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3C68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5E45"/>
    <w:rsid w:val="00AE67BE"/>
    <w:rsid w:val="00AF3BB7"/>
    <w:rsid w:val="00AF50F7"/>
    <w:rsid w:val="00B00C5D"/>
    <w:rsid w:val="00B0281C"/>
    <w:rsid w:val="00B05585"/>
    <w:rsid w:val="00B069DE"/>
    <w:rsid w:val="00B0740E"/>
    <w:rsid w:val="00B07F69"/>
    <w:rsid w:val="00B10339"/>
    <w:rsid w:val="00B11826"/>
    <w:rsid w:val="00B14076"/>
    <w:rsid w:val="00B162DB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0FA4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C662B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A3479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D5F03"/>
    <w:rsid w:val="00FE129F"/>
    <w:rsid w:val="00FE2A5A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4C694-4B68-4619-AB9B-1CB329F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0C29-ED65-483F-9D70-D3B00833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dcterms:created xsi:type="dcterms:W3CDTF">2021-05-19T01:05:00Z</dcterms:created>
  <dcterms:modified xsi:type="dcterms:W3CDTF">2021-05-28T00:26:00Z</dcterms:modified>
</cp:coreProperties>
</file>