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45" w:rsidRPr="00EA5345" w:rsidRDefault="00EA5345" w:rsidP="00EA5345">
      <w:pPr>
        <w:spacing w:after="0" w:line="240" w:lineRule="exact"/>
        <w:ind w:left="495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A5345">
        <w:rPr>
          <w:rFonts w:ascii="Times New Roman" w:hAnsi="Times New Roman" w:cs="Times New Roman"/>
          <w:spacing w:val="-11"/>
          <w:sz w:val="28"/>
          <w:szCs w:val="28"/>
        </w:rPr>
        <w:t xml:space="preserve">Главному редактору газеты  «Городская» </w:t>
      </w:r>
    </w:p>
    <w:p w:rsidR="00EA5345" w:rsidRPr="00EA5345" w:rsidRDefault="00EA5345" w:rsidP="00EA5345">
      <w:pPr>
        <w:spacing w:after="0"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A5345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EA5345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EA5345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EA5345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EA5345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EA5345">
        <w:rPr>
          <w:rFonts w:ascii="Times New Roman" w:hAnsi="Times New Roman" w:cs="Times New Roman"/>
          <w:spacing w:val="-11"/>
          <w:sz w:val="28"/>
          <w:szCs w:val="28"/>
        </w:rPr>
        <w:tab/>
        <w:t xml:space="preserve">       </w:t>
      </w:r>
      <w:r w:rsidRPr="00EA5345">
        <w:rPr>
          <w:rFonts w:ascii="Times New Roman" w:hAnsi="Times New Roman" w:cs="Times New Roman"/>
          <w:spacing w:val="-11"/>
          <w:sz w:val="28"/>
          <w:szCs w:val="28"/>
        </w:rPr>
        <w:tab/>
      </w:r>
      <w:proofErr w:type="spellStart"/>
      <w:r w:rsidRPr="00EA5345">
        <w:rPr>
          <w:rFonts w:ascii="Times New Roman" w:hAnsi="Times New Roman" w:cs="Times New Roman"/>
          <w:spacing w:val="-11"/>
          <w:sz w:val="28"/>
          <w:szCs w:val="28"/>
        </w:rPr>
        <w:t>Переваловой</w:t>
      </w:r>
      <w:proofErr w:type="spellEnd"/>
      <w:r w:rsidRPr="00EA5345">
        <w:rPr>
          <w:rFonts w:ascii="Times New Roman" w:hAnsi="Times New Roman" w:cs="Times New Roman"/>
          <w:spacing w:val="-11"/>
          <w:sz w:val="28"/>
          <w:szCs w:val="28"/>
        </w:rPr>
        <w:t xml:space="preserve"> М.В. </w:t>
      </w:r>
    </w:p>
    <w:p w:rsidR="00EA5345" w:rsidRPr="00EA5345" w:rsidRDefault="00EA5345" w:rsidP="00EA5345">
      <w:pPr>
        <w:pStyle w:val="a7"/>
        <w:spacing w:before="120" w:line="240" w:lineRule="exact"/>
        <w:ind w:left="4956"/>
        <w:rPr>
          <w:sz w:val="28"/>
          <w:szCs w:val="28"/>
        </w:rPr>
      </w:pPr>
    </w:p>
    <w:p w:rsidR="00EA5345" w:rsidRPr="00EA5345" w:rsidRDefault="00EA5345" w:rsidP="00EA5345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5345">
        <w:rPr>
          <w:rFonts w:ascii="Times New Roman" w:hAnsi="Times New Roman" w:cs="Times New Roman"/>
          <w:sz w:val="28"/>
          <w:szCs w:val="28"/>
        </w:rPr>
        <w:t>Руководителю проекта – информационного интернет сайта «</w:t>
      </w:r>
      <w:proofErr w:type="spellStart"/>
      <w:r w:rsidRPr="00EA5345">
        <w:rPr>
          <w:rFonts w:ascii="Times New Roman" w:hAnsi="Times New Roman" w:cs="Times New Roman"/>
          <w:sz w:val="28"/>
          <w:szCs w:val="28"/>
        </w:rPr>
        <w:t>Усольесити</w:t>
      </w:r>
      <w:proofErr w:type="spellEnd"/>
      <w:r w:rsidRPr="00EA5345">
        <w:rPr>
          <w:rFonts w:ascii="Times New Roman" w:hAnsi="Times New Roman" w:cs="Times New Roman"/>
          <w:sz w:val="28"/>
          <w:szCs w:val="28"/>
        </w:rPr>
        <w:t>»</w:t>
      </w:r>
    </w:p>
    <w:p w:rsidR="00EA5345" w:rsidRPr="00EA5345" w:rsidRDefault="00EA5345" w:rsidP="00EA5345">
      <w:pPr>
        <w:spacing w:after="0" w:line="240" w:lineRule="exact"/>
        <w:ind w:left="4820" w:firstLine="1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345">
        <w:rPr>
          <w:rFonts w:ascii="Times New Roman" w:hAnsi="Times New Roman" w:cs="Times New Roman"/>
          <w:sz w:val="28"/>
          <w:szCs w:val="28"/>
        </w:rPr>
        <w:t>Гамзулину</w:t>
      </w:r>
      <w:proofErr w:type="spellEnd"/>
      <w:r w:rsidRPr="00EA534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A5345" w:rsidRPr="00EA5345" w:rsidRDefault="00EA5345" w:rsidP="00EA5345">
      <w:pPr>
        <w:pStyle w:val="a7"/>
        <w:spacing w:before="120" w:line="240" w:lineRule="exact"/>
        <w:ind w:left="4956"/>
        <w:rPr>
          <w:sz w:val="28"/>
          <w:szCs w:val="28"/>
        </w:rPr>
      </w:pPr>
    </w:p>
    <w:p w:rsidR="00EA5345" w:rsidRPr="00EA5345" w:rsidRDefault="00EA5345" w:rsidP="00EA5345">
      <w:pPr>
        <w:pStyle w:val="a7"/>
        <w:spacing w:before="120" w:line="240" w:lineRule="exact"/>
        <w:ind w:left="4956"/>
        <w:rPr>
          <w:sz w:val="28"/>
          <w:szCs w:val="28"/>
        </w:rPr>
      </w:pPr>
      <w:r w:rsidRPr="00EA5345">
        <w:rPr>
          <w:sz w:val="28"/>
          <w:szCs w:val="28"/>
        </w:rPr>
        <w:t>Мэру муниципального образования «город Усолье-Сибирское»</w:t>
      </w:r>
    </w:p>
    <w:p w:rsidR="00EA5345" w:rsidRPr="00EA5345" w:rsidRDefault="00EA5345" w:rsidP="00EA5345">
      <w:pPr>
        <w:pStyle w:val="a7"/>
        <w:spacing w:before="120" w:line="240" w:lineRule="exact"/>
        <w:ind w:left="4956"/>
        <w:rPr>
          <w:sz w:val="28"/>
          <w:szCs w:val="28"/>
        </w:rPr>
      </w:pPr>
      <w:proofErr w:type="spellStart"/>
      <w:r w:rsidRPr="00EA5345">
        <w:rPr>
          <w:sz w:val="28"/>
          <w:szCs w:val="28"/>
        </w:rPr>
        <w:t>Торопкину</w:t>
      </w:r>
      <w:proofErr w:type="spellEnd"/>
      <w:r w:rsidRPr="00EA5345">
        <w:rPr>
          <w:sz w:val="28"/>
          <w:szCs w:val="28"/>
        </w:rPr>
        <w:t xml:space="preserve"> М.В.</w:t>
      </w:r>
    </w:p>
    <w:p w:rsidR="00EA5345" w:rsidRPr="00EA5345" w:rsidRDefault="00EA5345" w:rsidP="00EA5345">
      <w:pPr>
        <w:pStyle w:val="a7"/>
        <w:spacing w:before="120" w:line="240" w:lineRule="exact"/>
        <w:ind w:left="4956"/>
        <w:rPr>
          <w:sz w:val="28"/>
          <w:szCs w:val="28"/>
        </w:rPr>
      </w:pPr>
    </w:p>
    <w:p w:rsidR="00EA5345" w:rsidRPr="00EA5345" w:rsidRDefault="00EA5345" w:rsidP="00EA5345">
      <w:pPr>
        <w:pStyle w:val="a7"/>
        <w:spacing w:before="120" w:line="240" w:lineRule="exact"/>
        <w:ind w:left="4956"/>
        <w:rPr>
          <w:sz w:val="28"/>
          <w:szCs w:val="28"/>
        </w:rPr>
      </w:pPr>
      <w:r w:rsidRPr="00EA5345">
        <w:rPr>
          <w:sz w:val="28"/>
          <w:szCs w:val="28"/>
        </w:rPr>
        <w:t xml:space="preserve">Мэру  Муниципального района  </w:t>
      </w:r>
      <w:proofErr w:type="spellStart"/>
      <w:r w:rsidRPr="00EA5345">
        <w:rPr>
          <w:sz w:val="28"/>
          <w:szCs w:val="28"/>
        </w:rPr>
        <w:t>Усольского</w:t>
      </w:r>
      <w:proofErr w:type="spellEnd"/>
      <w:r w:rsidRPr="00EA5345">
        <w:rPr>
          <w:sz w:val="28"/>
          <w:szCs w:val="28"/>
        </w:rPr>
        <w:t xml:space="preserve"> районного муниципального образования </w:t>
      </w:r>
    </w:p>
    <w:p w:rsidR="00EA5345" w:rsidRPr="00EA5345" w:rsidRDefault="00EA5345" w:rsidP="00EA5345">
      <w:pPr>
        <w:pStyle w:val="a7"/>
        <w:spacing w:before="120" w:line="240" w:lineRule="exact"/>
        <w:ind w:left="4248" w:firstLine="708"/>
        <w:rPr>
          <w:sz w:val="28"/>
          <w:szCs w:val="28"/>
        </w:rPr>
      </w:pPr>
      <w:proofErr w:type="spellStart"/>
      <w:r w:rsidRPr="00EA5345">
        <w:rPr>
          <w:sz w:val="28"/>
          <w:szCs w:val="28"/>
        </w:rPr>
        <w:t>Матюхе</w:t>
      </w:r>
      <w:proofErr w:type="spellEnd"/>
      <w:r w:rsidRPr="00EA5345">
        <w:rPr>
          <w:sz w:val="28"/>
          <w:szCs w:val="28"/>
        </w:rPr>
        <w:t xml:space="preserve"> В.И. </w:t>
      </w:r>
    </w:p>
    <w:p w:rsidR="00EA5345" w:rsidRPr="00EA5345" w:rsidRDefault="00EA5345" w:rsidP="00EA5345">
      <w:pPr>
        <w:pStyle w:val="a7"/>
        <w:spacing w:before="120" w:line="240" w:lineRule="exact"/>
        <w:ind w:left="4248" w:firstLine="708"/>
        <w:rPr>
          <w:sz w:val="28"/>
          <w:szCs w:val="28"/>
        </w:rPr>
      </w:pPr>
    </w:p>
    <w:p w:rsidR="00EA5345" w:rsidRPr="00EA5345" w:rsidRDefault="00EA5345" w:rsidP="00EA5345">
      <w:pPr>
        <w:pStyle w:val="a7"/>
        <w:spacing w:before="120" w:line="240" w:lineRule="exact"/>
        <w:ind w:left="4956"/>
        <w:rPr>
          <w:sz w:val="28"/>
          <w:szCs w:val="28"/>
        </w:rPr>
      </w:pPr>
      <w:r w:rsidRPr="00EA5345">
        <w:rPr>
          <w:sz w:val="28"/>
          <w:szCs w:val="28"/>
        </w:rPr>
        <w:t xml:space="preserve">Главам  городских и сельских поселений </w:t>
      </w:r>
      <w:proofErr w:type="spellStart"/>
      <w:r w:rsidRPr="00EA5345">
        <w:rPr>
          <w:sz w:val="28"/>
          <w:szCs w:val="28"/>
        </w:rPr>
        <w:t>Усольского</w:t>
      </w:r>
      <w:proofErr w:type="spellEnd"/>
      <w:r w:rsidRPr="00EA5345">
        <w:rPr>
          <w:sz w:val="28"/>
          <w:szCs w:val="28"/>
        </w:rPr>
        <w:t xml:space="preserve"> района по списку  </w:t>
      </w:r>
    </w:p>
    <w:p w:rsidR="00EA5345" w:rsidRPr="00EA5345" w:rsidRDefault="00A801D8" w:rsidP="00EA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A5345" w:rsidRPr="00EA5345">
        <w:rPr>
          <w:rFonts w:ascii="Times New Roman" w:hAnsi="Times New Roman" w:cs="Times New Roman"/>
          <w:sz w:val="28"/>
          <w:szCs w:val="28"/>
        </w:rPr>
        <w:t>.10.2020 г. № 01-183-2020</w:t>
      </w:r>
    </w:p>
    <w:p w:rsidR="00EA5345" w:rsidRPr="00EA5345" w:rsidRDefault="00EA5345" w:rsidP="00EA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45" w:rsidRPr="00EA5345" w:rsidRDefault="00EA5345" w:rsidP="00EA5345">
      <w:pPr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EA5345">
        <w:rPr>
          <w:rFonts w:ascii="Times New Roman" w:hAnsi="Times New Roman" w:cs="Times New Roman"/>
          <w:spacing w:val="-11"/>
          <w:sz w:val="28"/>
          <w:szCs w:val="28"/>
        </w:rPr>
        <w:t xml:space="preserve">Уважаемые коллеги, </w:t>
      </w:r>
    </w:p>
    <w:p w:rsidR="00EA5345" w:rsidRPr="00EA5345" w:rsidRDefault="00EA5345" w:rsidP="00EA5345">
      <w:pPr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EA5345" w:rsidRPr="00EA5345" w:rsidRDefault="00EA5345" w:rsidP="00EA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45">
        <w:rPr>
          <w:rFonts w:ascii="Times New Roman" w:hAnsi="Times New Roman" w:cs="Times New Roman"/>
          <w:sz w:val="28"/>
          <w:szCs w:val="28"/>
        </w:rPr>
        <w:t>В целях формирования правовой культуры общества, повышения юридической осведомленности граждан, просим Вас разместить в СМИ, а также на информационных ресурсах администраций   информацию следующего содержания:</w:t>
      </w:r>
    </w:p>
    <w:p w:rsidR="00EA5345" w:rsidRDefault="00EA5345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№ 1479 от 16.09.2020, с 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01.01.2021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новые Правила противопожарного режима, в соответствии с которыми в отдельные требования пожарной безопасности вносятся существенные изменения.</w:t>
      </w:r>
    </w:p>
    <w:p w:rsidR="00EA5345" w:rsidRPr="00EA5345" w:rsidRDefault="00EA5345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>Правила дополнены разделами</w:t>
      </w:r>
      <w:r w:rsidR="00A801D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hyperlink r:id="rId5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применени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и реализаци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пиротехнических изделий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бытового назначения;</w:t>
      </w:r>
      <w:r w:rsidR="00A801D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применени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специальных сценических эффектов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, пиротехнических изделий и огневых эффектов при проведении концертных и спортивных мероприятий с массовым пребыванием людей в зданиях и сооружениях;</w:t>
      </w:r>
      <w:r w:rsidR="00A801D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hyperlink r:id="rId7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поряд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ке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использования открытого огня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и разведения костров на землях сельскохозяйственного назначения, землях запаса и землях населенных пунктов.</w:t>
      </w:r>
      <w:proofErr w:type="gramEnd"/>
    </w:p>
    <w:p w:rsidR="00EA5345" w:rsidRPr="00EA5345" w:rsidRDefault="00EA5345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>Новые правила предусматривают ведение журнала эксплуатации систем противопожарной защиты. Большинство проверочных мероприятий, которые сейчас требуют составления акта или протокола, придется дополнительно фиксировать в этом журнале.</w:t>
      </w:r>
    </w:p>
    <w:p w:rsidR="00A801D8" w:rsidRPr="00EA5345" w:rsidRDefault="00A801D8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новым правилам в </w:t>
      </w:r>
      <w:r w:rsidRPr="00EA534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Инструкции о мерах пожарной безопасности,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потребуется включить информацию   о </w:t>
      </w:r>
      <w:hyperlink r:id="rId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ке 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содержания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путей доступа подразделений пожарной охраны на объекты защиты (на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lastRenderedPageBreak/>
        <w:t>этажи, кровлю и т.д.);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hyperlink r:id="rId9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обязанности и действия работников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при открытии и блокировании в открытом состоянии устройств, препятствующих свободной эвакуации людей (турникеты, вращающиеся двери и т.п.);</w:t>
      </w:r>
      <w:proofErr w:type="gramEnd"/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сведения о лицах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, отвечающих за отключение устрой</w:t>
      </w:r>
      <w:proofErr w:type="gramStart"/>
      <w:r w:rsidRPr="00EA5345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EA5345">
        <w:rPr>
          <w:rFonts w:ascii="Times New Roman" w:eastAsia="Times New Roman" w:hAnsi="Times New Roman" w:cs="Times New Roman"/>
          <w:sz w:val="28"/>
          <w:szCs w:val="28"/>
        </w:rPr>
        <w:t>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внешней поверхности, способной превысить 90 градусов.</w:t>
      </w:r>
    </w:p>
    <w:p w:rsidR="002D6239" w:rsidRPr="00EA5345" w:rsidRDefault="00051677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новым правилам, п</w:t>
      </w:r>
      <w:r w:rsidR="002D6239" w:rsidRPr="00EA5345">
        <w:rPr>
          <w:rFonts w:ascii="Times New Roman" w:eastAsia="Times New Roman" w:hAnsi="Times New Roman" w:cs="Times New Roman"/>
          <w:sz w:val="28"/>
          <w:szCs w:val="28"/>
        </w:rPr>
        <w:t xml:space="preserve">осле окончания гарантированного срока эксплуатации покрытия </w:t>
      </w:r>
      <w:hyperlink r:id="rId11" w:history="1">
        <w:r w:rsidR="002D6239" w:rsidRPr="00EA5345">
          <w:rPr>
            <w:rFonts w:ascii="Times New Roman" w:eastAsia="Times New Roman" w:hAnsi="Times New Roman" w:cs="Times New Roman"/>
            <w:sz w:val="28"/>
            <w:szCs w:val="28"/>
          </w:rPr>
          <w:t>можно не проводить</w:t>
        </w:r>
      </w:hyperlink>
      <w:r w:rsidR="002D6239" w:rsidRPr="00EA5345">
        <w:rPr>
          <w:rFonts w:ascii="Times New Roman" w:eastAsia="Times New Roman" w:hAnsi="Times New Roman" w:cs="Times New Roman"/>
          <w:sz w:val="28"/>
          <w:szCs w:val="28"/>
        </w:rPr>
        <w:t xml:space="preserve"> повторную огнезащитную обработку, а провести испытания или обосновать расчетно-аналитическими методами, что обработанные конструкции и оборудование отвечают требованиям пожарной безопасности.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Правообладатель объекта защиты должен ежегодно и вплоть до замены </w:t>
      </w:r>
      <w:hyperlink r:id="rId12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проводить испытания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средств пожарной безопасности и пожаротушения, отслуживших свой срок, если изготовитель не сообщил о возможности дальнейшего использования таких средств.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Указатели направления движения к источникам противопожарного водоснабжения </w:t>
      </w:r>
      <w:hyperlink r:id="rId13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иметь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светоотражающую поверхность либо снабжаться электричеством и работать как минимум в ночное время.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Поменяются </w:t>
      </w:r>
      <w:hyperlink r:id="rId14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нормы обеспечения огнетушителями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. Так, помещения категорий</w:t>
      </w:r>
      <w:proofErr w:type="gramStart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A5345">
        <w:rPr>
          <w:rFonts w:ascii="Times New Roman" w:eastAsia="Times New Roman" w:hAnsi="Times New Roman" w:cs="Times New Roman"/>
          <w:sz w:val="28"/>
          <w:szCs w:val="28"/>
        </w:rPr>
        <w:t>, Б, В1–В4, в которых может возникнуть пожар класса Е, потребуется обеспечить устройствами с рангом тушения (55В, С, Е). Все огнетушители должны быть безопасны для людей и имущества.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Передвижными огнетушителями </w:t>
      </w:r>
      <w:hyperlink r:id="rId15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 потребуется оснащать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здания и сооружения категории Д.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Огнетушители </w:t>
      </w:r>
      <w:hyperlink r:id="rId1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крепиться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на высоте не более 1,5 метров до верха их корпуса. Текущие правила не уточняют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как считается это расстояние.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Раз в год </w:t>
      </w:r>
      <w:hyperlink r:id="rId17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нужно будет проверять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целостность покрывал для изоляции очага возгорания и делать об этом отметку в журнале.</w:t>
      </w:r>
    </w:p>
    <w:p w:rsidR="002D6239" w:rsidRPr="00EA5345" w:rsidRDefault="002D6239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>Запрещено использовать подвальные и цокольные этажи для следующих целей: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размещение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производственных участков и мастерских;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хранение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продукции, оборудования, мебели и других предметов;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организация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мероприятий). Исключение — случай, когда такое размещение предусмотрено проектной документацией.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Если в подвальном помещении постоянно не находятся люди, помещение </w:t>
      </w:r>
      <w:hyperlink r:id="rId21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должно быть закрыто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на замок, а на двери размещена информация о месте хранения ключей. Такое же требование введут для чердачных помещений и технических этажей.</w:t>
      </w:r>
    </w:p>
    <w:p w:rsidR="00051677" w:rsidRPr="00EA5345" w:rsidRDefault="002D6239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Объекты с массовым пребыванием людей </w:t>
      </w:r>
      <w:hyperlink r:id="rId22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оснащаться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ручными электрическими фонарями, а также СИЗ органов дыхания и зрения по тем же нормативам, что и объекты с круглосуточным пребыванием людей, — не менее 1 фонаря и 1 СИЗ на одного дежурного. Целостность </w:t>
      </w:r>
      <w:proofErr w:type="gramStart"/>
      <w:r w:rsidRPr="00EA534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должна проверяться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ежегодно.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Если нет норматива, определяющего </w:t>
      </w:r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 допустимое количество людей в помещении, </w:t>
      </w:r>
      <w:hyperlink r:id="rId24" w:history="1">
        <w:r w:rsidR="00051677" w:rsidRPr="00EA5345">
          <w:rPr>
            <w:rFonts w:ascii="Times New Roman" w:eastAsia="Times New Roman" w:hAnsi="Times New Roman" w:cs="Times New Roman"/>
            <w:sz w:val="28"/>
            <w:szCs w:val="28"/>
          </w:rPr>
          <w:t>нужно исходить</w:t>
        </w:r>
      </w:hyperlink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 из расчета не более 1 человека на 1 кв. м.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На учениях </w:t>
      </w:r>
      <w:hyperlink r:id="rId25" w:history="1">
        <w:r w:rsidR="00051677" w:rsidRPr="00EA5345">
          <w:rPr>
            <w:rFonts w:ascii="Times New Roman" w:eastAsia="Times New Roman" w:hAnsi="Times New Roman" w:cs="Times New Roman"/>
            <w:sz w:val="28"/>
            <w:szCs w:val="28"/>
          </w:rPr>
          <w:t>придется отрабатывать</w:t>
        </w:r>
      </w:hyperlink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 эвакуацию не только персонала, но и посетителей.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Котельные, встроенные в здания объектов с массовым пребыванием людей или пристроенные к таким зданиям </w:t>
      </w:r>
      <w:hyperlink r:id="rId2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 допускается переводить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с твердого топлива на </w:t>
      </w:r>
      <w:proofErr w:type="gramStart"/>
      <w:r w:rsidRPr="00EA5345">
        <w:rPr>
          <w:rFonts w:ascii="Times New Roman" w:eastAsia="Times New Roman" w:hAnsi="Times New Roman" w:cs="Times New Roman"/>
          <w:sz w:val="28"/>
          <w:szCs w:val="28"/>
        </w:rPr>
        <w:t>жидкое</w:t>
      </w:r>
      <w:proofErr w:type="gram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или газообразное.</w:t>
      </w:r>
    </w:p>
    <w:p w:rsidR="002D6239" w:rsidRPr="00EA5345" w:rsidRDefault="00B21A17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2D6239" w:rsidRPr="00EA5345">
          <w:rPr>
            <w:rFonts w:ascii="Times New Roman" w:eastAsia="Times New Roman" w:hAnsi="Times New Roman" w:cs="Times New Roman"/>
            <w:sz w:val="28"/>
            <w:szCs w:val="28"/>
          </w:rPr>
          <w:t>Нельзя отключать</w:t>
        </w:r>
      </w:hyperlink>
      <w:r w:rsidR="002D6239" w:rsidRPr="00EA5345">
        <w:rPr>
          <w:rFonts w:ascii="Times New Roman" w:eastAsia="Times New Roman" w:hAnsi="Times New Roman" w:cs="Times New Roman"/>
          <w:sz w:val="28"/>
          <w:szCs w:val="28"/>
        </w:rPr>
        <w:t xml:space="preserve"> системы противопожарной защиты для обслуживания или ремонта, если то же время проводятся мероприятия с массовым пребыванием людей.</w:t>
      </w:r>
    </w:p>
    <w:p w:rsidR="00051677" w:rsidRPr="00EA5345" w:rsidRDefault="002D6239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кроватями в больничных палатах </w:t>
      </w:r>
      <w:hyperlink r:id="rId2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должно быть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 не менее 0,8 м, а ширина центрального основного прохода — не менее 1,2 м. Стулья, тумбочки и другая мебель </w:t>
      </w:r>
      <w:hyperlink r:id="rId29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 должны загромождать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эвакуационные пути и выходы, уменьшая ширину путей эвакуации.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В палатах </w:t>
      </w:r>
      <w:hyperlink r:id="rId30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нельзя группировать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более двух кроватей.</w:t>
      </w:r>
      <w:r w:rsidR="00051677" w:rsidRP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Каждый работник дежурной смены </w:t>
      </w:r>
      <w:hyperlink r:id="rId31" w:history="1">
        <w:r w:rsidR="00051677" w:rsidRPr="00EA5345">
          <w:rPr>
            <w:rFonts w:ascii="Times New Roman" w:eastAsia="Times New Roman" w:hAnsi="Times New Roman" w:cs="Times New Roman"/>
            <w:sz w:val="28"/>
            <w:szCs w:val="28"/>
          </w:rPr>
          <w:t>должен иметь</w:t>
        </w:r>
      </w:hyperlink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 СИЗ дыхания и зрения.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В новых правилах есть нюансы противопожарного режима </w:t>
      </w:r>
      <w:proofErr w:type="gramStart"/>
      <w:r w:rsidRPr="00EA53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автоматических (</w:t>
      </w:r>
      <w:proofErr w:type="spellStart"/>
      <w:r w:rsidRPr="00EA5345">
        <w:rPr>
          <w:rFonts w:ascii="Times New Roman" w:eastAsia="Times New Roman" w:hAnsi="Times New Roman" w:cs="Times New Roman"/>
          <w:sz w:val="28"/>
          <w:szCs w:val="28"/>
        </w:rPr>
        <w:t>безоператорных</w:t>
      </w:r>
      <w:proofErr w:type="spell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) АЗС. Установлено, что на </w:t>
      </w:r>
      <w:proofErr w:type="gramStart"/>
      <w:r w:rsidRPr="00EA5345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АЗС мероприятия, которые проводятся при возникновении пожароопасной ситуации или пожара, </w:t>
      </w:r>
      <w:hyperlink r:id="rId32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осуществляться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в автоматическом режиме или дистанционно.</w:t>
      </w:r>
      <w:r w:rsidR="007F02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На всех АЗС </w:t>
      </w:r>
      <w:hyperlink r:id="rId33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запрещается заправлять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топливо в канистры и другую тару, в процессе наполнения которой может возникнуть искра.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У въезда на территорию стройплощадок </w:t>
      </w:r>
      <w:hyperlink r:id="rId34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размещаться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схемы с обозначением въездов, подъездов, пожарных проездов и источников противопожарного водоснабжения.</w:t>
      </w:r>
      <w:r w:rsidR="007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рабочей смены </w:t>
      </w:r>
      <w:hyperlink r:id="rId35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запрещено оставлять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внутри зданий или на их покрытиях горючий утеплитель, </w:t>
      </w:r>
      <w:proofErr w:type="spellStart"/>
      <w:r w:rsidRPr="00EA5345">
        <w:rPr>
          <w:rFonts w:ascii="Times New Roman" w:eastAsia="Times New Roman" w:hAnsi="Times New Roman" w:cs="Times New Roman"/>
          <w:sz w:val="28"/>
          <w:szCs w:val="28"/>
        </w:rPr>
        <w:t>несмонтированные</w:t>
      </w:r>
      <w:proofErr w:type="spell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панели с ним, кровельные рулонные материалы.</w:t>
      </w:r>
    </w:p>
    <w:p w:rsidR="007F0293" w:rsidRDefault="002D6239" w:rsidP="007F0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За местом, где завершились огневые работы, должно быть обеспечено не менее чем </w:t>
      </w:r>
      <w:hyperlink r:id="rId3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четырехчасовое наблюдение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02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Формы нарядов-допусков на выполнение огневых работ организации будут разрабатывать сами. В новых правилах нет обязательной формы, но есть </w:t>
      </w:r>
      <w:hyperlink r:id="rId37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перечень обязательных реквизитов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. Наряд-допуск может быть оформлен и зарегистрирован </w:t>
      </w:r>
      <w:hyperlink r:id="rId3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в электронном виде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293" w:rsidRDefault="007F0293" w:rsidP="007F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293" w:rsidRDefault="007F0293" w:rsidP="007F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 города</w:t>
      </w:r>
    </w:p>
    <w:p w:rsidR="007F0293" w:rsidRPr="007F0293" w:rsidRDefault="007F0293" w:rsidP="007F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Н.П. Марченко</w:t>
      </w:r>
    </w:p>
    <w:sectPr w:rsidR="007F0293" w:rsidRPr="007F0293" w:rsidSect="007C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29"/>
    <w:multiLevelType w:val="multilevel"/>
    <w:tmpl w:val="D6E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14C6"/>
    <w:multiLevelType w:val="multilevel"/>
    <w:tmpl w:val="3B4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34F62"/>
    <w:multiLevelType w:val="multilevel"/>
    <w:tmpl w:val="6A9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239"/>
    <w:rsid w:val="00051677"/>
    <w:rsid w:val="002D6239"/>
    <w:rsid w:val="007C2D87"/>
    <w:rsid w:val="007F0293"/>
    <w:rsid w:val="00A801D8"/>
    <w:rsid w:val="00B21A17"/>
    <w:rsid w:val="00D93CD7"/>
    <w:rsid w:val="00E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7"/>
  </w:style>
  <w:style w:type="paragraph" w:styleId="1">
    <w:name w:val="heading 1"/>
    <w:basedOn w:val="a"/>
    <w:link w:val="10"/>
    <w:uiPriority w:val="9"/>
    <w:qFormat/>
    <w:rsid w:val="002D6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62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6239"/>
    <w:rPr>
      <w:color w:val="0000FF"/>
      <w:u w:val="single"/>
    </w:rPr>
  </w:style>
  <w:style w:type="character" w:customStyle="1" w:styleId="attachmentstitle">
    <w:name w:val="attachments__title"/>
    <w:basedOn w:val="a0"/>
    <w:rsid w:val="002D6239"/>
  </w:style>
  <w:style w:type="paragraph" w:customStyle="1" w:styleId="attachmentsitem">
    <w:name w:val="attachments__item"/>
    <w:basedOn w:val="a"/>
    <w:rsid w:val="002D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A5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q=doc;rnd=333947518;base=LAW;n=363263;dst=101006" TargetMode="External"/><Relationship Id="rId13" Type="http://schemas.openxmlformats.org/officeDocument/2006/relationships/hyperlink" Target="https://demo.consultant.ru/cgi/online.cgi?req=doc;rnd=2085263449;base=LAW;n=363263;dst=100136" TargetMode="External"/><Relationship Id="rId18" Type="http://schemas.openxmlformats.org/officeDocument/2006/relationships/hyperlink" Target="https://demo.consultant.ru/cgi/online.cgi?req=doc;rnd=1445858912;base=LAW;n=363263;dst=100041" TargetMode="External"/><Relationship Id="rId26" Type="http://schemas.openxmlformats.org/officeDocument/2006/relationships/hyperlink" Target="https://demo.consultant.ru/cgi/online.cgi?req=doc;rnd=1910932088;base=LAW;n=363263;dst=10011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mo.consultant.ru/cgi/online.cgi?req=doc;rnd=1437431568;base=LAW;n=363263;dst=100058" TargetMode="External"/><Relationship Id="rId34" Type="http://schemas.openxmlformats.org/officeDocument/2006/relationships/hyperlink" Target="https://demo.consultant.ru/cgi/online.cgi?req=doc;rnd=1910299890;base=LAW;n=363263;dst=100192" TargetMode="External"/><Relationship Id="rId7" Type="http://schemas.openxmlformats.org/officeDocument/2006/relationships/hyperlink" Target="https://demo.consultant.ru/cgi/online.cgi?req=doc;rnd=1880061907;base=LAW;n=363263;dst=101324" TargetMode="External"/><Relationship Id="rId12" Type="http://schemas.openxmlformats.org/officeDocument/2006/relationships/hyperlink" Target="https://demo.consultant.ru/cgi/online.cgi?req=doc;rnd=1752415423;base=LAW;n=363263;dst=100149" TargetMode="External"/><Relationship Id="rId17" Type="http://schemas.openxmlformats.org/officeDocument/2006/relationships/hyperlink" Target="https://demo.consultant.ru/cgi/online.cgi?req=doc;rnd=1144284160;base=LAW;n=363263;dst=101065" TargetMode="External"/><Relationship Id="rId25" Type="http://schemas.openxmlformats.org/officeDocument/2006/relationships/hyperlink" Target="https://demo.consultant.ru/cgi/online.cgi?req=doc;rnd=1955618657;base=LAW;n=363263;dst=100027" TargetMode="External"/><Relationship Id="rId33" Type="http://schemas.openxmlformats.org/officeDocument/2006/relationships/hyperlink" Target="https://demo.consultant.ru/cgi/online.cgi?req=doc;rnd=810881073;base=LAW;n=363263;dst=100987" TargetMode="External"/><Relationship Id="rId38" Type="http://schemas.openxmlformats.org/officeDocument/2006/relationships/hyperlink" Target="https://demo.consultant.ru/cgi/online.cgi?req=doc;rnd=384389294;base=LAW;n=363263;dst=100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consultant.ru/cgi/online.cgi?req=doc;rnd=1473287240;base=LAW;n=363263;dst=101054" TargetMode="External"/><Relationship Id="rId20" Type="http://schemas.openxmlformats.org/officeDocument/2006/relationships/hyperlink" Target="https://demo.consultant.ru/cgi/online.cgi?req=doc;rnd=651673754;base=LAW;n=363263;dst=100026" TargetMode="External"/><Relationship Id="rId29" Type="http://schemas.openxmlformats.org/officeDocument/2006/relationships/hyperlink" Target="https://demo.consultant.ru/cgi/online.cgi?req=doc;rnd=932880866;base=LAW;n=363263;dst=1003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;rnd=1682151101;base=LAW;n=363263;dst=101154" TargetMode="External"/><Relationship Id="rId11" Type="http://schemas.openxmlformats.org/officeDocument/2006/relationships/hyperlink" Target="https://demo.consultant.ru/cgi/online.cgi?req=doc;rnd=1002309478;base=LAW;n=363263;dst=100036" TargetMode="External"/><Relationship Id="rId24" Type="http://schemas.openxmlformats.org/officeDocument/2006/relationships/hyperlink" Target="https://demo.consultant.ru/cgi/online.cgi?req=doc;rnd=2099092355;base=LAW;n=363263;dst=100074" TargetMode="External"/><Relationship Id="rId32" Type="http://schemas.openxmlformats.org/officeDocument/2006/relationships/hyperlink" Target="https://demo.consultant.ru/cgi/online.cgi?req=doc;rnd=965045926;base=LAW;n=363263;dst=101001" TargetMode="External"/><Relationship Id="rId37" Type="http://schemas.openxmlformats.org/officeDocument/2006/relationships/hyperlink" Target="https://demo.consultant.ru/cgi/online.cgi?req=doc;rnd=1153608210;base=LAW;n=363263;dst=10096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emo.consultant.ru/cgi/online.cgi?req=doc;rnd=109817640;base=LAW;n=363263;dst=101110" TargetMode="External"/><Relationship Id="rId15" Type="http://schemas.openxmlformats.org/officeDocument/2006/relationships/hyperlink" Target="https://demo.consultant.ru/cgi/online.cgi?req=doc;rnd=528582611;base=LAW;n=363263;dst=101051" TargetMode="External"/><Relationship Id="rId23" Type="http://schemas.openxmlformats.org/officeDocument/2006/relationships/hyperlink" Target="https://demo.consultant.ru/cgi/online.cgi?req=doc;rnd=1086484268;base=LAW;n=363263;dst=100091" TargetMode="External"/><Relationship Id="rId28" Type="http://schemas.openxmlformats.org/officeDocument/2006/relationships/hyperlink" Target="https://demo.consultant.ru/cgi/online.cgi?req=doc;rnd=932880866;base=LAW;n=363263;dst=100311" TargetMode="External"/><Relationship Id="rId36" Type="http://schemas.openxmlformats.org/officeDocument/2006/relationships/hyperlink" Target="https://demo.consultant.ru/cgi/online.cgi?req=doc;rnd=1046786672;base=LAW;n=363263;dst=100895" TargetMode="External"/><Relationship Id="rId10" Type="http://schemas.openxmlformats.org/officeDocument/2006/relationships/hyperlink" Target="https://demo.consultant.ru/cgi/online.cgi?req=doc;rnd=1592171094;base=LAW;n=363263;dst=101017" TargetMode="External"/><Relationship Id="rId19" Type="http://schemas.openxmlformats.org/officeDocument/2006/relationships/hyperlink" Target="https://demo.consultant.ru/cgi/online.cgi?req=doc;rnd=1445858912;base=LAW;n=363263;dst=100041" TargetMode="External"/><Relationship Id="rId31" Type="http://schemas.openxmlformats.org/officeDocument/2006/relationships/hyperlink" Target="https://demo.consultant.ru/cgi/online.cgi?req=doc;rnd=959030368;base=LAW;n=363263;dst=100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consultant.ru/cgi/online.cgi?req=doc;rnd=1195944912;base=LAW;n=363263;dst=101015" TargetMode="External"/><Relationship Id="rId14" Type="http://schemas.openxmlformats.org/officeDocument/2006/relationships/hyperlink" Target="https://demo.consultant.ru/cgi/online.cgi?req=doc;rnd=1881513004;base=LAW;n=363263;dst=101176" TargetMode="External"/><Relationship Id="rId22" Type="http://schemas.openxmlformats.org/officeDocument/2006/relationships/hyperlink" Target="https://demo.consultant.ru/cgi/online.cgi?req=doc;rnd=817802344;base=LAW;n=363263;dst=100090" TargetMode="External"/><Relationship Id="rId27" Type="http://schemas.openxmlformats.org/officeDocument/2006/relationships/hyperlink" Target="https://demo.consultant.ru/cgi/online.cgi?req=doc;rnd=841341167;base=LAW;n=363263;dst=100154" TargetMode="External"/><Relationship Id="rId30" Type="http://schemas.openxmlformats.org/officeDocument/2006/relationships/hyperlink" Target="https://demo.consultant.ru/cgi/online.cgi?req=doc;rnd=1618474485;base=LAW;n=363263;dst=100314" TargetMode="External"/><Relationship Id="rId35" Type="http://schemas.openxmlformats.org/officeDocument/2006/relationships/hyperlink" Target="https://demo.consultant.ru/cgi/online.cgi?req=doc;rnd=1921690865;base=LAW;n=363263;dst=100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labova</dc:creator>
  <cp:keywords/>
  <dc:description/>
  <cp:lastModifiedBy>labova</cp:lastModifiedBy>
  <cp:revision>7</cp:revision>
  <dcterms:created xsi:type="dcterms:W3CDTF">2020-09-30T17:53:00Z</dcterms:created>
  <dcterms:modified xsi:type="dcterms:W3CDTF">2020-10-30T04:22:00Z</dcterms:modified>
</cp:coreProperties>
</file>